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E56A4F" w14:textId="77777777" w:rsidR="003C038E" w:rsidRDefault="003C038E" w:rsidP="003C038E">
      <w:pPr>
        <w:pStyle w:val="IntenseQuote"/>
      </w:pPr>
      <w:bookmarkStart w:id="0" w:name="_GoBack"/>
      <w:r>
        <w:t>Concentrated Animal Feeding Operations of the Pacific North West</w:t>
      </w:r>
    </w:p>
    <w:bookmarkEnd w:id="0"/>
    <w:p w14:paraId="7F603CBF" w14:textId="432C4F29" w:rsidR="003C038E" w:rsidRPr="003C038E" w:rsidRDefault="003C038E" w:rsidP="003C038E">
      <w:pPr>
        <w:pStyle w:val="IntenseQuote"/>
      </w:pPr>
      <w:r>
        <w:t xml:space="preserve"> By. Evan </w:t>
      </w:r>
      <w:proofErr w:type="spellStart"/>
      <w:r>
        <w:t>Barbarick</w:t>
      </w:r>
      <w:proofErr w:type="spellEnd"/>
    </w:p>
    <w:p w14:paraId="7C613B80" w14:textId="14B6DFA3" w:rsidR="00FF0A6F" w:rsidRPr="00FF0A6F" w:rsidRDefault="00FF0A6F" w:rsidP="00FF0A6F">
      <w:pPr>
        <w:jc w:val="center"/>
        <w:rPr>
          <w:rFonts w:ascii="Times New Roman" w:hAnsi="Times New Roman" w:cs="Times New Roman"/>
          <w:i/>
        </w:rPr>
      </w:pPr>
      <w:r>
        <w:rPr>
          <w:rFonts w:ascii="Times New Roman" w:hAnsi="Times New Roman" w:cs="Times New Roman"/>
          <w:i/>
        </w:rPr>
        <w:t xml:space="preserve">This report analysis CAFO’s of the Pacific northwest and there relation to major waterways as well as their total fertilizer and carbon dioxide output. The report also briefly examines CAFO’s and there relation to major eutrophic zones of the Washington coast. All analysis was done using the computer program ArcMap by Esri. Data that was not available was manually added via digitization and the eutrophication zones contain a high degree of uncertainty. Final analysis shows that the largest CAFO’s are located along either the snake or Columbia River, with the larges being in Northwest Idaho. </w:t>
      </w:r>
    </w:p>
    <w:p w14:paraId="0D00123E" w14:textId="77777777" w:rsidR="00F814CF" w:rsidRDefault="00997EF8" w:rsidP="00997EF8">
      <w:pPr>
        <w:pStyle w:val="Heading1"/>
        <w:rPr>
          <w:b/>
          <w:u w:val="single"/>
        </w:rPr>
      </w:pPr>
      <w:r w:rsidRPr="00997EF8">
        <w:rPr>
          <w:b/>
          <w:u w:val="single"/>
        </w:rPr>
        <w:t>Introduction</w:t>
      </w:r>
    </w:p>
    <w:p w14:paraId="56C884DA" w14:textId="77777777" w:rsidR="00997EF8" w:rsidRDefault="00997EF8" w:rsidP="00997EF8"/>
    <w:p w14:paraId="7321ABFF" w14:textId="0D2F539C" w:rsidR="00266A84" w:rsidRDefault="00997EF8" w:rsidP="002A4272">
      <w:pPr>
        <w:spacing w:line="480" w:lineRule="auto"/>
        <w:ind w:firstLine="720"/>
        <w:rPr>
          <w:rFonts w:ascii="Times New Roman" w:hAnsi="Times New Roman" w:cs="Times New Roman"/>
          <w:sz w:val="24"/>
          <w:szCs w:val="24"/>
        </w:rPr>
      </w:pPr>
      <w:r>
        <w:tab/>
      </w:r>
      <w:r w:rsidRPr="00997EF8">
        <w:rPr>
          <w:rFonts w:ascii="Times New Roman" w:hAnsi="Times New Roman" w:cs="Times New Roman"/>
          <w:sz w:val="24"/>
          <w:szCs w:val="24"/>
        </w:rPr>
        <w:t>The purpose of his report is to analysis the major CAFO’s (Concentrated Animal Feeding Operations) of the Pacific Northwest in relation to major waterway</w:t>
      </w:r>
      <w:r>
        <w:rPr>
          <w:rFonts w:ascii="Times New Roman" w:hAnsi="Times New Roman" w:cs="Times New Roman"/>
          <w:sz w:val="24"/>
          <w:szCs w:val="24"/>
        </w:rPr>
        <w:t xml:space="preserve">s and </w:t>
      </w:r>
      <w:r w:rsidR="00CC21C0">
        <w:rPr>
          <w:rFonts w:ascii="Times New Roman" w:hAnsi="Times New Roman" w:cs="Times New Roman"/>
          <w:sz w:val="24"/>
          <w:szCs w:val="24"/>
        </w:rPr>
        <w:t xml:space="preserve">costal </w:t>
      </w:r>
      <w:r w:rsidRPr="00997EF8">
        <w:rPr>
          <w:rFonts w:ascii="Times New Roman" w:hAnsi="Times New Roman" w:cs="Times New Roman"/>
          <w:sz w:val="24"/>
          <w:szCs w:val="24"/>
        </w:rPr>
        <w:t>zones</w:t>
      </w:r>
      <w:r>
        <w:rPr>
          <w:rFonts w:ascii="Times New Roman" w:hAnsi="Times New Roman" w:cs="Times New Roman"/>
          <w:sz w:val="24"/>
          <w:szCs w:val="24"/>
        </w:rPr>
        <w:t>. CAFO’s have been shown to be a form of point source solution for water pollutants such as nitrogen and phosphorus</w:t>
      </w:r>
      <w:r w:rsidR="00CC21C0">
        <w:rPr>
          <w:rFonts w:ascii="Times New Roman" w:hAnsi="Times New Roman" w:cs="Times New Roman"/>
          <w:sz w:val="24"/>
          <w:szCs w:val="24"/>
        </w:rPr>
        <w:t xml:space="preserve"> and are responsible for up to 1.6 tons of manure produced annually in the United States, approximately 20 times the amount produced by humans (</w:t>
      </w:r>
      <w:proofErr w:type="spellStart"/>
      <w:r w:rsidR="00CC21C0">
        <w:rPr>
          <w:rFonts w:ascii="Times New Roman" w:hAnsi="Times New Roman" w:cs="Times New Roman"/>
          <w:sz w:val="24"/>
          <w:szCs w:val="24"/>
        </w:rPr>
        <w:t>Hribar</w:t>
      </w:r>
      <w:proofErr w:type="spellEnd"/>
      <w:r w:rsidR="00CC21C0">
        <w:rPr>
          <w:rFonts w:ascii="Times New Roman" w:hAnsi="Times New Roman" w:cs="Times New Roman"/>
          <w:sz w:val="24"/>
          <w:szCs w:val="24"/>
        </w:rPr>
        <w:t xml:space="preserve"> 2010)</w:t>
      </w:r>
      <w:r>
        <w:rPr>
          <w:rFonts w:ascii="Times New Roman" w:hAnsi="Times New Roman" w:cs="Times New Roman"/>
          <w:sz w:val="24"/>
          <w:szCs w:val="24"/>
        </w:rPr>
        <w:t xml:space="preserve">. These pollutants can enter major water ways, contaminating water supply, and can also find their way in to major bays, contributing to </w:t>
      </w:r>
      <w:r w:rsidR="00CC21C0">
        <w:rPr>
          <w:rFonts w:ascii="Times New Roman" w:hAnsi="Times New Roman" w:cs="Times New Roman"/>
          <w:sz w:val="24"/>
          <w:szCs w:val="24"/>
        </w:rPr>
        <w:t xml:space="preserve">the process of </w:t>
      </w:r>
      <w:r>
        <w:rPr>
          <w:rFonts w:ascii="Times New Roman" w:hAnsi="Times New Roman" w:cs="Times New Roman"/>
          <w:sz w:val="24"/>
          <w:szCs w:val="24"/>
        </w:rPr>
        <w:t>eutrophication.</w:t>
      </w:r>
    </w:p>
    <w:p w14:paraId="037E3490" w14:textId="2060FBF6" w:rsidR="007C5963" w:rsidRDefault="00997EF8" w:rsidP="002A427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Eutrophication is the process of creating a dead zone</w:t>
      </w:r>
      <w:r w:rsidR="00266A84">
        <w:rPr>
          <w:rFonts w:ascii="Times New Roman" w:hAnsi="Times New Roman" w:cs="Times New Roman"/>
          <w:sz w:val="24"/>
          <w:szCs w:val="24"/>
        </w:rPr>
        <w:t xml:space="preserve"> in fresh and salt water bodies</w:t>
      </w:r>
      <w:r>
        <w:rPr>
          <w:rFonts w:ascii="Times New Roman" w:hAnsi="Times New Roman" w:cs="Times New Roman"/>
          <w:sz w:val="24"/>
          <w:szCs w:val="24"/>
        </w:rPr>
        <w:t xml:space="preserve"> by first over nitrifying an area, </w:t>
      </w:r>
      <w:r w:rsidR="00E05158">
        <w:rPr>
          <w:rFonts w:ascii="Times New Roman" w:hAnsi="Times New Roman" w:cs="Times New Roman"/>
          <w:sz w:val="24"/>
          <w:szCs w:val="24"/>
        </w:rPr>
        <w:t>followed by a</w:t>
      </w:r>
      <w:r>
        <w:rPr>
          <w:rFonts w:ascii="Times New Roman" w:hAnsi="Times New Roman" w:cs="Times New Roman"/>
          <w:sz w:val="24"/>
          <w:szCs w:val="24"/>
        </w:rPr>
        <w:t xml:space="preserve"> bloom of algae organisms, </w:t>
      </w:r>
      <w:r w:rsidR="00E05158">
        <w:rPr>
          <w:rFonts w:ascii="Times New Roman" w:hAnsi="Times New Roman" w:cs="Times New Roman"/>
          <w:sz w:val="24"/>
          <w:szCs w:val="24"/>
        </w:rPr>
        <w:t>which then leads</w:t>
      </w:r>
      <w:r>
        <w:rPr>
          <w:rFonts w:ascii="Times New Roman" w:hAnsi="Times New Roman" w:cs="Times New Roman"/>
          <w:sz w:val="24"/>
          <w:szCs w:val="24"/>
        </w:rPr>
        <w:t xml:space="preserve"> </w:t>
      </w:r>
      <w:r w:rsidR="00E05158">
        <w:rPr>
          <w:rFonts w:ascii="Times New Roman" w:hAnsi="Times New Roman" w:cs="Times New Roman"/>
          <w:sz w:val="24"/>
          <w:szCs w:val="24"/>
        </w:rPr>
        <w:t>to</w:t>
      </w:r>
      <w:r>
        <w:rPr>
          <w:rFonts w:ascii="Times New Roman" w:hAnsi="Times New Roman" w:cs="Times New Roman"/>
          <w:sz w:val="24"/>
          <w:szCs w:val="24"/>
        </w:rPr>
        <w:t xml:space="preserve"> mass algae die off and subsequent bacterial decomposition which uses up the available oxygen. When the eutrophication process is complete the area becomes </w:t>
      </w:r>
      <w:r w:rsidR="00266A84">
        <w:rPr>
          <w:rFonts w:ascii="Times New Roman" w:hAnsi="Times New Roman" w:cs="Times New Roman"/>
          <w:sz w:val="24"/>
          <w:szCs w:val="24"/>
        </w:rPr>
        <w:t>hypoxic and is a</w:t>
      </w:r>
      <w:r>
        <w:rPr>
          <w:rFonts w:ascii="Times New Roman" w:hAnsi="Times New Roman" w:cs="Times New Roman"/>
          <w:sz w:val="24"/>
          <w:szCs w:val="24"/>
        </w:rPr>
        <w:t xml:space="preserve"> dead zone that is incapable of supporting most species.</w:t>
      </w:r>
      <w:r w:rsidR="007C5963">
        <w:rPr>
          <w:rFonts w:ascii="Times New Roman" w:hAnsi="Times New Roman" w:cs="Times New Roman"/>
          <w:sz w:val="24"/>
          <w:szCs w:val="24"/>
        </w:rPr>
        <w:t xml:space="preserve"> </w:t>
      </w:r>
    </w:p>
    <w:p w14:paraId="659D7F1A" w14:textId="509FEFEA" w:rsidR="00997EF8" w:rsidRDefault="00E05158" w:rsidP="002A4272">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This report also uses</w:t>
      </w:r>
      <w:r w:rsidR="00B22168">
        <w:rPr>
          <w:rFonts w:ascii="Times New Roman" w:hAnsi="Times New Roman" w:cs="Times New Roman"/>
          <w:sz w:val="24"/>
          <w:szCs w:val="24"/>
        </w:rPr>
        <w:t xml:space="preserve"> a simple equation</w:t>
      </w:r>
      <w:r>
        <w:rPr>
          <w:rFonts w:ascii="Times New Roman" w:hAnsi="Times New Roman" w:cs="Times New Roman"/>
          <w:sz w:val="24"/>
          <w:szCs w:val="24"/>
        </w:rPr>
        <w:t xml:space="preserve"> to analyses the large amounts of GHG’s (Green House Gas) emitted by CAFO’s. CAFO’s are responsible for 7 percent of the total U.S. GHG </w:t>
      </w:r>
      <w:r w:rsidR="00266A84">
        <w:rPr>
          <w:rFonts w:ascii="Times New Roman" w:hAnsi="Times New Roman" w:cs="Times New Roman"/>
          <w:sz w:val="24"/>
          <w:szCs w:val="24"/>
        </w:rPr>
        <w:t>emissions (</w:t>
      </w:r>
      <w:proofErr w:type="spellStart"/>
      <w:r w:rsidR="00266A84">
        <w:rPr>
          <w:rFonts w:ascii="Times New Roman" w:hAnsi="Times New Roman" w:cs="Times New Roman"/>
          <w:sz w:val="24"/>
          <w:szCs w:val="24"/>
        </w:rPr>
        <w:t>Hribar</w:t>
      </w:r>
      <w:proofErr w:type="spellEnd"/>
      <w:r w:rsidR="00266A84">
        <w:rPr>
          <w:rFonts w:ascii="Times New Roman" w:hAnsi="Times New Roman" w:cs="Times New Roman"/>
          <w:sz w:val="24"/>
          <w:szCs w:val="24"/>
        </w:rPr>
        <w:t xml:space="preserve"> 2010)</w:t>
      </w:r>
      <w:r>
        <w:rPr>
          <w:rFonts w:ascii="Times New Roman" w:hAnsi="Times New Roman" w:cs="Times New Roman"/>
          <w:sz w:val="24"/>
          <w:szCs w:val="24"/>
        </w:rPr>
        <w:t>. This most notably in the form of large amounts of CH4 (methane) released on site, however a large portion of these emissions are hidden in transportation of feed and livestock, deforestation of rainforests to grow cattle feed, and fertilizer production which is a highly carbon intensive process.</w:t>
      </w:r>
      <w:r w:rsidR="00266A84">
        <w:rPr>
          <w:rFonts w:ascii="Times New Roman" w:hAnsi="Times New Roman" w:cs="Times New Roman"/>
          <w:sz w:val="24"/>
          <w:szCs w:val="24"/>
        </w:rPr>
        <w:t xml:space="preserve"> Children living near CAFO’s have been shown to have an increased likelihood of developing respiratory disease (</w:t>
      </w:r>
      <w:proofErr w:type="spellStart"/>
      <w:r w:rsidR="00266A84">
        <w:rPr>
          <w:rFonts w:ascii="Times New Roman" w:hAnsi="Times New Roman" w:cs="Times New Roman"/>
          <w:sz w:val="24"/>
          <w:szCs w:val="24"/>
        </w:rPr>
        <w:t>Hibrar</w:t>
      </w:r>
      <w:proofErr w:type="spellEnd"/>
      <w:r w:rsidR="00266A84">
        <w:rPr>
          <w:rFonts w:ascii="Times New Roman" w:hAnsi="Times New Roman" w:cs="Times New Roman"/>
          <w:sz w:val="24"/>
          <w:szCs w:val="24"/>
        </w:rPr>
        <w:t xml:space="preserve"> 2010)</w:t>
      </w:r>
    </w:p>
    <w:p w14:paraId="6621F577" w14:textId="77777777" w:rsidR="00E05158" w:rsidRDefault="00E05158" w:rsidP="000F51A9">
      <w:pPr>
        <w:spacing w:line="480" w:lineRule="auto"/>
        <w:rPr>
          <w:rFonts w:ascii="Times New Roman" w:hAnsi="Times New Roman" w:cs="Times New Roman"/>
          <w:sz w:val="24"/>
          <w:szCs w:val="24"/>
        </w:rPr>
      </w:pPr>
    </w:p>
    <w:p w14:paraId="23BB3B8D" w14:textId="4BD26E6F" w:rsidR="007C5963" w:rsidRDefault="00E05158" w:rsidP="002A4272">
      <w:pPr>
        <w:pStyle w:val="Heading1"/>
        <w:spacing w:line="480" w:lineRule="auto"/>
      </w:pPr>
      <w:r w:rsidRPr="00E05158">
        <w:rPr>
          <w:b/>
          <w:u w:val="single"/>
        </w:rPr>
        <w:t>Methods</w:t>
      </w:r>
    </w:p>
    <w:p w14:paraId="081AE2F0" w14:textId="21DF39BE" w:rsidR="00E05158" w:rsidRPr="00204F70" w:rsidRDefault="007C5963" w:rsidP="000F51A9">
      <w:pPr>
        <w:spacing w:line="480" w:lineRule="auto"/>
        <w:rPr>
          <w:rFonts w:ascii="Times New Roman" w:hAnsi="Times New Roman" w:cs="Times New Roman"/>
          <w:sz w:val="24"/>
          <w:szCs w:val="24"/>
        </w:rPr>
      </w:pPr>
      <w:r>
        <w:tab/>
      </w:r>
      <w:r w:rsidR="000402DF" w:rsidRPr="00204F70">
        <w:rPr>
          <w:rFonts w:ascii="Times New Roman" w:hAnsi="Times New Roman" w:cs="Times New Roman"/>
          <w:sz w:val="24"/>
          <w:szCs w:val="24"/>
        </w:rPr>
        <w:t>All of the analysis for this report was done using the geospatial analysis</w:t>
      </w:r>
      <w:r w:rsidR="005F3E21">
        <w:rPr>
          <w:rFonts w:ascii="Times New Roman" w:hAnsi="Times New Roman" w:cs="Times New Roman"/>
          <w:sz w:val="24"/>
          <w:szCs w:val="24"/>
        </w:rPr>
        <w:t>, or GIS,</w:t>
      </w:r>
      <w:r w:rsidR="000402DF" w:rsidRPr="00204F70">
        <w:rPr>
          <w:rFonts w:ascii="Times New Roman" w:hAnsi="Times New Roman" w:cs="Times New Roman"/>
          <w:sz w:val="24"/>
          <w:szCs w:val="24"/>
        </w:rPr>
        <w:t xml:space="preserve"> software ArcMap</w:t>
      </w:r>
      <w:r w:rsidR="005F3E21">
        <w:rPr>
          <w:rFonts w:ascii="Times New Roman" w:hAnsi="Times New Roman" w:cs="Times New Roman"/>
          <w:sz w:val="24"/>
          <w:szCs w:val="24"/>
        </w:rPr>
        <w:t xml:space="preserve"> by Esri, Inc</w:t>
      </w:r>
      <w:r w:rsidR="000402DF" w:rsidRPr="00204F70">
        <w:rPr>
          <w:rFonts w:ascii="Times New Roman" w:hAnsi="Times New Roman" w:cs="Times New Roman"/>
          <w:sz w:val="24"/>
          <w:szCs w:val="24"/>
        </w:rPr>
        <w:t xml:space="preserve">. This is an incredibly useful tool as it allows for observation of large amounts of data over large spaces in a relatively short amount of time. All of the data used for this report was acquired from the USGS (United States Geologic Survey) website. Data that was not available online, such as the eutrophic zones as well as the Snake and Columbia rivers, were added to the analysis through the process of digitization which is a method of manually adding features to a map. The original data package for North American CAFO’s was highly extensive and included operations as small as 300 heads of livestock and as large as 150,000 heads of livestock. The data set has since been cut down to </w:t>
      </w:r>
      <w:r>
        <w:rPr>
          <w:rFonts w:ascii="Times New Roman" w:hAnsi="Times New Roman" w:cs="Times New Roman"/>
          <w:sz w:val="24"/>
          <w:szCs w:val="24"/>
        </w:rPr>
        <w:t xml:space="preserve">a base map of </w:t>
      </w:r>
      <w:r w:rsidR="000402DF" w:rsidRPr="00204F70">
        <w:rPr>
          <w:rFonts w:ascii="Times New Roman" w:hAnsi="Times New Roman" w:cs="Times New Roman"/>
          <w:sz w:val="24"/>
          <w:szCs w:val="24"/>
        </w:rPr>
        <w:t>operations greater than 1000 heads. This filter has since been n</w:t>
      </w:r>
      <w:r w:rsidR="00C80549">
        <w:rPr>
          <w:rFonts w:ascii="Times New Roman" w:hAnsi="Times New Roman" w:cs="Times New Roman"/>
          <w:sz w:val="24"/>
          <w:szCs w:val="24"/>
        </w:rPr>
        <w:t xml:space="preserve">arrowed to show the top 5 largest CAFO’s, CAFO’s at </w:t>
      </w:r>
      <w:r w:rsidR="000402DF" w:rsidRPr="00204F70">
        <w:rPr>
          <w:rFonts w:ascii="Times New Roman" w:hAnsi="Times New Roman" w:cs="Times New Roman"/>
          <w:sz w:val="24"/>
          <w:szCs w:val="24"/>
        </w:rPr>
        <w:t xml:space="preserve">15,000 heads or more, and the largest CAFO at 150,000 heads. The same process was utilized for the waterways data set so that only the largest waterways are show. Both the Snake River and Columbian river were added to the map through digitization </w:t>
      </w:r>
      <w:r w:rsidR="008960CF" w:rsidRPr="00204F70">
        <w:rPr>
          <w:rFonts w:ascii="Times New Roman" w:hAnsi="Times New Roman" w:cs="Times New Roman"/>
          <w:sz w:val="24"/>
          <w:szCs w:val="24"/>
        </w:rPr>
        <w:t xml:space="preserve">as the original waterways data lacked easily accessible information on large rivers. </w:t>
      </w:r>
    </w:p>
    <w:p w14:paraId="54913103" w14:textId="2FAE9B85" w:rsidR="007C5963" w:rsidRPr="00204F70" w:rsidRDefault="008960CF" w:rsidP="000F51A9">
      <w:pPr>
        <w:spacing w:line="480" w:lineRule="auto"/>
        <w:rPr>
          <w:rFonts w:ascii="Times New Roman" w:hAnsi="Times New Roman" w:cs="Times New Roman"/>
          <w:sz w:val="24"/>
          <w:szCs w:val="24"/>
        </w:rPr>
      </w:pPr>
      <w:r w:rsidRPr="00204F70">
        <w:rPr>
          <w:rFonts w:ascii="Times New Roman" w:hAnsi="Times New Roman" w:cs="Times New Roman"/>
          <w:sz w:val="24"/>
          <w:szCs w:val="24"/>
        </w:rPr>
        <w:t>The CAFO data set includes the total nitrogen and phosphorus generated by each operation but did not include information on total GHG emissions. To obtain this data, new field was manually added to the attribute table of the CAFO data set and was filled using the following equation:</w:t>
      </w:r>
    </w:p>
    <w:p w14:paraId="61122C36" w14:textId="0BB01EBA" w:rsidR="007C5963" w:rsidRDefault="007C5963" w:rsidP="002A4272">
      <w:pPr>
        <w:spacing w:line="480" w:lineRule="auto"/>
        <w:rPr>
          <w:rFonts w:ascii="Times New Roman" w:hAnsi="Times New Roman" w:cs="Times New Roman"/>
          <w:sz w:val="24"/>
          <w:szCs w:val="24"/>
        </w:rPr>
      </w:pPr>
      <w:r w:rsidRPr="002A4272">
        <w:rPr>
          <w:rFonts w:ascii="Times New Roman" w:hAnsi="Times New Roman" w:cs="Times New Roman"/>
          <w:sz w:val="24"/>
          <w:szCs w:val="24"/>
          <w:highlight w:val="yellow"/>
        </w:rPr>
        <w:t>Amount of CO2= (Total Population) (22lb of CO2 per head).</w:t>
      </w:r>
    </w:p>
    <w:p w14:paraId="6AFA4FE7" w14:textId="4E412417" w:rsidR="000F51A9" w:rsidRDefault="0062290E" w:rsidP="002A4272">
      <w:pPr>
        <w:spacing w:line="480" w:lineRule="auto"/>
        <w:rPr>
          <w:rStyle w:val="Hyperlink"/>
          <w:rFonts w:ascii="Times New Roman" w:hAnsi="Times New Roman" w:cs="Times New Roman"/>
          <w:sz w:val="24"/>
          <w:szCs w:val="24"/>
        </w:rPr>
      </w:pPr>
      <w:r w:rsidRPr="00204F70">
        <w:rPr>
          <w:rFonts w:ascii="Times New Roman" w:hAnsi="Times New Roman" w:cs="Times New Roman"/>
          <w:sz w:val="24"/>
          <w:szCs w:val="24"/>
        </w:rPr>
        <w:t>22lb of CO2 per head of cattle is based on the national average of CO2 per head of CAFO cattle</w:t>
      </w:r>
      <w:r w:rsidR="005362CC">
        <w:rPr>
          <w:rFonts w:ascii="Times New Roman" w:hAnsi="Times New Roman" w:cs="Times New Roman"/>
          <w:sz w:val="24"/>
          <w:szCs w:val="24"/>
        </w:rPr>
        <w:t>.</w:t>
      </w:r>
      <w:r w:rsidRPr="00204F70">
        <w:rPr>
          <w:rFonts w:ascii="Times New Roman" w:hAnsi="Times New Roman" w:cs="Times New Roman"/>
          <w:sz w:val="24"/>
          <w:szCs w:val="24"/>
        </w:rPr>
        <w:t xml:space="preserve"> (Alex and Dennis Avery</w:t>
      </w:r>
      <w:r w:rsidR="007C5963">
        <w:rPr>
          <w:rFonts w:ascii="Times New Roman" w:hAnsi="Times New Roman" w:cs="Times New Roman"/>
          <w:sz w:val="24"/>
          <w:szCs w:val="24"/>
        </w:rPr>
        <w:t>)</w:t>
      </w:r>
      <w:r w:rsidRPr="00204F70">
        <w:rPr>
          <w:rFonts w:ascii="Times New Roman" w:hAnsi="Times New Roman" w:cs="Times New Roman"/>
          <w:sz w:val="24"/>
          <w:szCs w:val="24"/>
        </w:rPr>
        <w:t xml:space="preserve"> </w:t>
      </w:r>
    </w:p>
    <w:p w14:paraId="14B930B6" w14:textId="1FD83600" w:rsidR="0062290E" w:rsidRDefault="0062290E" w:rsidP="000F51A9">
      <w:pPr>
        <w:pStyle w:val="Heading1"/>
        <w:rPr>
          <w:b/>
          <w:u w:val="single"/>
        </w:rPr>
      </w:pPr>
      <w:r w:rsidRPr="000F51A9">
        <w:rPr>
          <w:b/>
          <w:u w:val="single"/>
        </w:rPr>
        <w:t>Results</w:t>
      </w:r>
    </w:p>
    <w:p w14:paraId="00A38352" w14:textId="77777777" w:rsidR="00332171" w:rsidRDefault="00332171" w:rsidP="002A4272">
      <w:pPr>
        <w:rPr>
          <w:rFonts w:ascii="Times New Roman" w:hAnsi="Times New Roman" w:cs="Times New Roman"/>
          <w:sz w:val="24"/>
          <w:szCs w:val="24"/>
        </w:rPr>
      </w:pPr>
    </w:p>
    <w:p w14:paraId="546FB004" w14:textId="77777777" w:rsidR="00CA5002" w:rsidRPr="00CA5002" w:rsidRDefault="00CA5002" w:rsidP="00CA5002">
      <w:pPr>
        <w:spacing w:line="480" w:lineRule="auto"/>
        <w:rPr>
          <w:rFonts w:ascii="Times New Roman" w:hAnsi="Times New Roman" w:cs="Times New Roman"/>
          <w:sz w:val="24"/>
          <w:szCs w:val="24"/>
        </w:rPr>
      </w:pPr>
      <w:r>
        <w:rPr>
          <w:rFonts w:ascii="Times New Roman" w:hAnsi="Times New Roman" w:cs="Times New Roman"/>
          <w:sz w:val="24"/>
          <w:szCs w:val="24"/>
        </w:rPr>
        <w:t>Analysis shows that the five largest CAFO’s of the Pacific Northwest are located along either the snake or Columbia River in either Washington of Idaho. The largest CAFO is located in Idaho, has a population of 150,000 and is located within a mile of the Snake River. Very little data was available for eutrophication and so this information contains a lot of uncertainty in regards to the maps below however it does outline the general area in which eutrophication and hypoxia would be expected.</w:t>
      </w:r>
    </w:p>
    <w:p w14:paraId="449C52D3" w14:textId="77777777" w:rsidR="000F51A9" w:rsidRDefault="000F51A9" w:rsidP="000F51A9">
      <w:pPr>
        <w:spacing w:line="480" w:lineRule="auto"/>
      </w:pPr>
    </w:p>
    <w:p w14:paraId="3C2244AA" w14:textId="77777777" w:rsidR="000F51A9" w:rsidRDefault="000F51A9" w:rsidP="000F51A9">
      <w:pPr>
        <w:spacing w:line="480" w:lineRule="auto"/>
      </w:pPr>
    </w:p>
    <w:p w14:paraId="09B109B3" w14:textId="77777777" w:rsidR="000F51A9" w:rsidRDefault="000F51A9" w:rsidP="000F51A9">
      <w:pPr>
        <w:spacing w:line="480" w:lineRule="auto"/>
      </w:pPr>
    </w:p>
    <w:p w14:paraId="67CDC6A1" w14:textId="77777777" w:rsidR="000F51A9" w:rsidRDefault="000F51A9" w:rsidP="000F51A9">
      <w:pPr>
        <w:spacing w:line="480" w:lineRule="auto"/>
      </w:pPr>
    </w:p>
    <w:p w14:paraId="5C4A0DF1" w14:textId="77777777" w:rsidR="000F51A9" w:rsidRDefault="000F51A9" w:rsidP="000F51A9">
      <w:pPr>
        <w:spacing w:line="480" w:lineRule="auto"/>
      </w:pPr>
    </w:p>
    <w:p w14:paraId="2005AF45" w14:textId="77777777" w:rsidR="000F51A9" w:rsidRDefault="000F51A9" w:rsidP="000F51A9">
      <w:pPr>
        <w:spacing w:line="480" w:lineRule="auto"/>
      </w:pPr>
    </w:p>
    <w:p w14:paraId="15219FF1" w14:textId="77777777" w:rsidR="000F51A9" w:rsidRDefault="000F51A9" w:rsidP="000F51A9">
      <w:pPr>
        <w:spacing w:line="480" w:lineRule="auto"/>
      </w:pPr>
    </w:p>
    <w:p w14:paraId="4601AB08" w14:textId="2E79B31B" w:rsidR="000F51A9" w:rsidRDefault="00F6727F" w:rsidP="000F51A9">
      <w:pPr>
        <w:spacing w:line="480" w:lineRule="auto"/>
      </w:pPr>
      <w:r>
        <w:rPr>
          <w:noProof/>
        </w:rPr>
        <w:drawing>
          <wp:inline distT="0" distB="0" distL="0" distR="0" wp14:anchorId="0DD8ECCD" wp14:editId="3AA5FAF6">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 largest CAFO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53C525F" w14:textId="3F68D6B1" w:rsidR="005F3E21" w:rsidRDefault="00CA5002" w:rsidP="000F51A9">
      <w:pPr>
        <w:spacing w:line="480" w:lineRule="auto"/>
      </w:pPr>
      <w:r>
        <w:t>F</w:t>
      </w:r>
      <w:r w:rsidR="005F3E21">
        <w:t xml:space="preserve">igure 1: </w:t>
      </w:r>
      <w:r w:rsidR="00332171">
        <w:t xml:space="preserve">5 largest CAFO’s </w:t>
      </w:r>
    </w:p>
    <w:p w14:paraId="497EDF7D" w14:textId="281991D5" w:rsidR="005F3E21" w:rsidRDefault="00CA5002" w:rsidP="005F3E21">
      <w:pPr>
        <w:spacing w:line="480" w:lineRule="auto"/>
      </w:pPr>
      <w:r>
        <w:rPr>
          <w:noProof/>
        </w:rPr>
        <w:drawing>
          <wp:inline distT="0" distB="0" distL="0" distR="0" wp14:anchorId="5A906C24" wp14:editId="71917FEF">
            <wp:extent cx="5619750" cy="7272654"/>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FO's150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3626" cy="7277669"/>
                    </a:xfrm>
                    <a:prstGeom prst="rect">
                      <a:avLst/>
                    </a:prstGeom>
                  </pic:spPr>
                </pic:pic>
              </a:graphicData>
            </a:graphic>
          </wp:inline>
        </w:drawing>
      </w:r>
      <w:r w:rsidR="005F3E21">
        <w:t>Figure 2: CAFO’s with more than 15,000 heads of livestock</w:t>
      </w:r>
    </w:p>
    <w:p w14:paraId="454A2BCB" w14:textId="186206F4" w:rsidR="005F3E21" w:rsidRDefault="00332171" w:rsidP="000F51A9">
      <w:pPr>
        <w:spacing w:line="480" w:lineRule="auto"/>
      </w:pPr>
      <w:r>
        <w:rPr>
          <w:noProof/>
        </w:rPr>
        <w:drawing>
          <wp:inline distT="0" distB="0" distL="0" distR="0" wp14:anchorId="03B1841A" wp14:editId="26B35C53">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rgestCAFO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96B44CA" w14:textId="77FC5EF5" w:rsidR="0062290E" w:rsidRDefault="0062290E" w:rsidP="000F51A9">
      <w:pPr>
        <w:spacing w:line="480" w:lineRule="auto"/>
      </w:pPr>
      <w:r>
        <w:t xml:space="preserve">Figure 3: The largest recorded CAFO in the </w:t>
      </w:r>
      <w:r w:rsidR="000B7D76">
        <w:t>Pacific</w:t>
      </w:r>
      <w:r>
        <w:t xml:space="preserve"> North West</w:t>
      </w:r>
    </w:p>
    <w:p w14:paraId="5B992B99" w14:textId="06754505" w:rsidR="00204F70" w:rsidRDefault="000F51A9" w:rsidP="000F51A9">
      <w:pPr>
        <w:spacing w:line="480" w:lineRule="auto"/>
        <w:rPr>
          <w:noProof/>
        </w:rPr>
      </w:pPr>
      <w:r>
        <w:rPr>
          <w:noProof/>
        </w:rPr>
        <w:drawing>
          <wp:inline distT="0" distB="0" distL="0" distR="0" wp14:anchorId="5AB68544" wp14:editId="1BD56604">
            <wp:extent cx="5961754" cy="77152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FO closeu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3907" cy="7756860"/>
                    </a:xfrm>
                    <a:prstGeom prst="rect">
                      <a:avLst/>
                    </a:prstGeom>
                  </pic:spPr>
                </pic:pic>
              </a:graphicData>
            </a:graphic>
          </wp:inline>
        </w:drawing>
      </w:r>
    </w:p>
    <w:p w14:paraId="43A037AF" w14:textId="748503D8" w:rsidR="00332171" w:rsidRDefault="00332171" w:rsidP="000F51A9">
      <w:pPr>
        <w:spacing w:line="480" w:lineRule="auto"/>
        <w:rPr>
          <w:noProof/>
        </w:rPr>
      </w:pPr>
      <w:r>
        <w:rPr>
          <w:noProof/>
        </w:rPr>
        <w:t>Figure 4: A close up of the largest CAFO in Idaho</w:t>
      </w:r>
    </w:p>
    <w:p w14:paraId="58839061" w14:textId="11304A7B" w:rsidR="00332171" w:rsidRDefault="00332171" w:rsidP="005F3E21">
      <w:pPr>
        <w:spacing w:line="480" w:lineRule="auto"/>
      </w:pPr>
    </w:p>
    <w:p w14:paraId="74AD3424" w14:textId="77777777" w:rsidR="00D04AC3" w:rsidRDefault="00D04AC3" w:rsidP="000F51A9">
      <w:pPr>
        <w:spacing w:line="480" w:lineRule="auto"/>
      </w:pPr>
    </w:p>
    <w:tbl>
      <w:tblPr>
        <w:tblStyle w:val="TableGrid"/>
        <w:tblpPr w:leftFromText="180" w:rightFromText="180" w:vertAnchor="text" w:horzAnchor="margin" w:tblpY="610"/>
        <w:tblW w:w="0" w:type="auto"/>
        <w:tblLook w:val="04A0" w:firstRow="1" w:lastRow="0" w:firstColumn="1" w:lastColumn="0" w:noHBand="0" w:noVBand="1"/>
      </w:tblPr>
      <w:tblGrid>
        <w:gridCol w:w="2337"/>
        <w:gridCol w:w="2337"/>
        <w:gridCol w:w="2338"/>
        <w:gridCol w:w="2338"/>
      </w:tblGrid>
      <w:tr w:rsidR="000F51A9" w:rsidRPr="00D04AC3" w14:paraId="136E558A" w14:textId="77777777" w:rsidTr="000F51A9">
        <w:tc>
          <w:tcPr>
            <w:tcW w:w="2337" w:type="dxa"/>
          </w:tcPr>
          <w:p w14:paraId="79EAE335" w14:textId="14C9DA3E" w:rsidR="000F51A9" w:rsidRPr="002A4272" w:rsidRDefault="000F51A9" w:rsidP="000F51A9">
            <w:pPr>
              <w:pStyle w:val="Heading1"/>
              <w:spacing w:line="480" w:lineRule="auto"/>
              <w:outlineLvl w:val="0"/>
              <w:rPr>
                <w:rStyle w:val="Strong"/>
                <w:rFonts w:ascii="Times New Roman" w:hAnsi="Times New Roman" w:cs="Times New Roman"/>
                <w:b w:val="0"/>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Style w:val="Strong"/>
                <w:rFonts w:ascii="Times New Roman" w:hAnsi="Times New Roman" w:cs="Times New Roman"/>
                <w:b w:val="0"/>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Population</w:t>
            </w:r>
            <w:r w:rsidR="00B13D02">
              <w:rPr>
                <w:rStyle w:val="Strong"/>
                <w:rFonts w:ascii="Times New Roman" w:hAnsi="Times New Roman" w:cs="Times New Roman"/>
                <w:b w:val="0"/>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livestock</w:t>
            </w:r>
          </w:p>
        </w:tc>
        <w:tc>
          <w:tcPr>
            <w:tcW w:w="2337" w:type="dxa"/>
          </w:tcPr>
          <w:p w14:paraId="431B598C" w14:textId="49C58E2C" w:rsidR="000F51A9" w:rsidRPr="002A4272" w:rsidRDefault="000F51A9" w:rsidP="000F51A9">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Nitrogen runoff</w:t>
            </w:r>
            <w:r w:rsidR="00B13D0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500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g/year)</w:t>
            </w:r>
          </w:p>
        </w:tc>
        <w:tc>
          <w:tcPr>
            <w:tcW w:w="2338" w:type="dxa"/>
          </w:tcPr>
          <w:p w14:paraId="0B471BEA" w14:textId="098DD701" w:rsidR="000F51A9" w:rsidRPr="002A4272" w:rsidRDefault="000F51A9" w:rsidP="000F51A9">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Phosphorus runoff</w:t>
            </w:r>
            <w:r w:rsidR="00B13D0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w:t>
            </w:r>
            <w:r w:rsidR="00CA500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w:t>
            </w:r>
            <w:r w:rsidR="00B13D0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338" w:type="dxa"/>
          </w:tcPr>
          <w:p w14:paraId="4206A17F" w14:textId="04A5F81A" w:rsidR="000F51A9" w:rsidRPr="002A4272" w:rsidRDefault="000F51A9" w:rsidP="00CA5002">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GHG emissions</w:t>
            </w:r>
            <w:r w:rsidR="00B13D0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500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13D0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kg</w:t>
            </w:r>
            <w:r w:rsidR="00CA500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w:t>
            </w:r>
            <w:r w:rsidR="00B13D0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F51A9" w:rsidRPr="00D04AC3" w14:paraId="4DE08C3D" w14:textId="77777777" w:rsidTr="000F51A9">
        <w:tc>
          <w:tcPr>
            <w:tcW w:w="2337" w:type="dxa"/>
          </w:tcPr>
          <w:p w14:paraId="0AD43ECA" w14:textId="77777777" w:rsidR="000F51A9" w:rsidRPr="002A4272" w:rsidRDefault="000F51A9" w:rsidP="000F51A9">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150,000</w:t>
            </w:r>
          </w:p>
        </w:tc>
        <w:tc>
          <w:tcPr>
            <w:tcW w:w="2337" w:type="dxa"/>
          </w:tcPr>
          <w:p w14:paraId="0B7992F1" w14:textId="77777777" w:rsidR="000F51A9" w:rsidRPr="002A4272" w:rsidRDefault="000F51A9" w:rsidP="000F51A9">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10226451</w:t>
            </w:r>
          </w:p>
        </w:tc>
        <w:tc>
          <w:tcPr>
            <w:tcW w:w="2338" w:type="dxa"/>
          </w:tcPr>
          <w:p w14:paraId="5206ECEF" w14:textId="77777777" w:rsidR="000F51A9" w:rsidRPr="002A4272" w:rsidRDefault="000F51A9" w:rsidP="000F51A9">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3614280</w:t>
            </w:r>
          </w:p>
        </w:tc>
        <w:tc>
          <w:tcPr>
            <w:tcW w:w="2338" w:type="dxa"/>
          </w:tcPr>
          <w:p w14:paraId="6EBC6E4E" w14:textId="77777777" w:rsidR="000F51A9" w:rsidRPr="002A4272" w:rsidRDefault="000F51A9" w:rsidP="000F51A9">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3300000</w:t>
            </w:r>
          </w:p>
        </w:tc>
      </w:tr>
      <w:tr w:rsidR="000F51A9" w:rsidRPr="00D04AC3" w14:paraId="6839BE9A" w14:textId="77777777" w:rsidTr="000F51A9">
        <w:tc>
          <w:tcPr>
            <w:tcW w:w="2337" w:type="dxa"/>
          </w:tcPr>
          <w:p w14:paraId="3A70DB33" w14:textId="77777777" w:rsidR="000F51A9" w:rsidRPr="002A4272" w:rsidRDefault="000F51A9" w:rsidP="000F51A9">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90000</w:t>
            </w:r>
          </w:p>
        </w:tc>
        <w:tc>
          <w:tcPr>
            <w:tcW w:w="2337" w:type="dxa"/>
          </w:tcPr>
          <w:p w14:paraId="1696019B" w14:textId="77777777" w:rsidR="000F51A9" w:rsidRPr="002A4272" w:rsidRDefault="000F51A9" w:rsidP="000F51A9">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2771854</w:t>
            </w:r>
          </w:p>
        </w:tc>
        <w:tc>
          <w:tcPr>
            <w:tcW w:w="2338" w:type="dxa"/>
          </w:tcPr>
          <w:p w14:paraId="13C85521" w14:textId="77777777" w:rsidR="000F51A9" w:rsidRPr="002A4272" w:rsidRDefault="000F51A9" w:rsidP="000F51A9">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979642</w:t>
            </w:r>
          </w:p>
        </w:tc>
        <w:tc>
          <w:tcPr>
            <w:tcW w:w="2338" w:type="dxa"/>
          </w:tcPr>
          <w:p w14:paraId="077680D9" w14:textId="77777777" w:rsidR="000F51A9" w:rsidRPr="002A4272" w:rsidRDefault="000F51A9" w:rsidP="000F51A9">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1980000</w:t>
            </w:r>
          </w:p>
        </w:tc>
      </w:tr>
      <w:tr w:rsidR="000F51A9" w:rsidRPr="00D04AC3" w14:paraId="54658E48" w14:textId="77777777" w:rsidTr="000F51A9">
        <w:tc>
          <w:tcPr>
            <w:tcW w:w="2337" w:type="dxa"/>
          </w:tcPr>
          <w:p w14:paraId="0A51F583" w14:textId="77777777" w:rsidR="000F51A9" w:rsidRPr="002A4272" w:rsidRDefault="000F51A9" w:rsidP="000F51A9">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52000</w:t>
            </w:r>
          </w:p>
        </w:tc>
        <w:tc>
          <w:tcPr>
            <w:tcW w:w="2337" w:type="dxa"/>
          </w:tcPr>
          <w:p w14:paraId="054454B9" w14:textId="77777777" w:rsidR="000F51A9" w:rsidRPr="002A4272" w:rsidRDefault="000F51A9" w:rsidP="000F51A9">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2166365</w:t>
            </w:r>
          </w:p>
        </w:tc>
        <w:tc>
          <w:tcPr>
            <w:tcW w:w="2338" w:type="dxa"/>
          </w:tcPr>
          <w:p w14:paraId="2972DE2D" w14:textId="77777777" w:rsidR="000F51A9" w:rsidRPr="002A4272" w:rsidRDefault="000F51A9" w:rsidP="000F51A9">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765647</w:t>
            </w:r>
          </w:p>
        </w:tc>
        <w:tc>
          <w:tcPr>
            <w:tcW w:w="2338" w:type="dxa"/>
          </w:tcPr>
          <w:p w14:paraId="36C23B31" w14:textId="77777777" w:rsidR="000F51A9" w:rsidRPr="002A4272" w:rsidRDefault="000F51A9" w:rsidP="000F51A9">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1144000</w:t>
            </w:r>
          </w:p>
        </w:tc>
      </w:tr>
      <w:tr w:rsidR="000F51A9" w:rsidRPr="00D04AC3" w14:paraId="2B0414C2" w14:textId="77777777" w:rsidTr="000F51A9">
        <w:tc>
          <w:tcPr>
            <w:tcW w:w="2337" w:type="dxa"/>
          </w:tcPr>
          <w:p w14:paraId="571044EF" w14:textId="77777777" w:rsidR="000F51A9" w:rsidRPr="002A4272" w:rsidRDefault="000F51A9" w:rsidP="000F51A9">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40000</w:t>
            </w:r>
          </w:p>
        </w:tc>
        <w:tc>
          <w:tcPr>
            <w:tcW w:w="2337" w:type="dxa"/>
          </w:tcPr>
          <w:p w14:paraId="26316A6E" w14:textId="77777777" w:rsidR="000F51A9" w:rsidRPr="002A4272" w:rsidRDefault="000F51A9" w:rsidP="000F51A9">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2082934</w:t>
            </w:r>
          </w:p>
        </w:tc>
        <w:tc>
          <w:tcPr>
            <w:tcW w:w="2338" w:type="dxa"/>
          </w:tcPr>
          <w:p w14:paraId="50CCBD20" w14:textId="77777777" w:rsidR="000F51A9" w:rsidRPr="002A4272" w:rsidRDefault="000F51A9" w:rsidP="000F51A9">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736160</w:t>
            </w:r>
          </w:p>
        </w:tc>
        <w:tc>
          <w:tcPr>
            <w:tcW w:w="2338" w:type="dxa"/>
          </w:tcPr>
          <w:p w14:paraId="5980532F" w14:textId="77777777" w:rsidR="000F51A9" w:rsidRPr="002A4272" w:rsidRDefault="000F51A9" w:rsidP="000F51A9">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880000</w:t>
            </w:r>
          </w:p>
        </w:tc>
      </w:tr>
      <w:tr w:rsidR="000F51A9" w:rsidRPr="00D04AC3" w14:paraId="0B09AB9A" w14:textId="77777777" w:rsidTr="000F51A9">
        <w:tc>
          <w:tcPr>
            <w:tcW w:w="2337" w:type="dxa"/>
          </w:tcPr>
          <w:p w14:paraId="569D126B" w14:textId="77777777" w:rsidR="000F51A9" w:rsidRPr="002A4272" w:rsidRDefault="000F51A9" w:rsidP="000F51A9">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37500</w:t>
            </w:r>
          </w:p>
        </w:tc>
        <w:tc>
          <w:tcPr>
            <w:tcW w:w="2337" w:type="dxa"/>
          </w:tcPr>
          <w:p w14:paraId="62D878B2" w14:textId="77777777" w:rsidR="000F51A9" w:rsidRPr="002A4272" w:rsidRDefault="000F51A9" w:rsidP="000F51A9">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1851249</w:t>
            </w:r>
          </w:p>
        </w:tc>
        <w:tc>
          <w:tcPr>
            <w:tcW w:w="2338" w:type="dxa"/>
          </w:tcPr>
          <w:p w14:paraId="259B3F19" w14:textId="77777777" w:rsidR="000F51A9" w:rsidRPr="002A4272" w:rsidRDefault="000F51A9" w:rsidP="000F51A9">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654277</w:t>
            </w:r>
          </w:p>
        </w:tc>
        <w:tc>
          <w:tcPr>
            <w:tcW w:w="2338" w:type="dxa"/>
          </w:tcPr>
          <w:p w14:paraId="4FD07447" w14:textId="77777777" w:rsidR="000F51A9" w:rsidRPr="002A4272" w:rsidRDefault="000F51A9" w:rsidP="000F51A9">
            <w:pPr>
              <w:pStyle w:val="Heading1"/>
              <w:spacing w:line="480" w:lineRule="auto"/>
              <w:outlineLvl w:val="0"/>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27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825000</w:t>
            </w:r>
          </w:p>
        </w:tc>
      </w:tr>
    </w:tbl>
    <w:p w14:paraId="06B0A143" w14:textId="77777777" w:rsidR="00332171" w:rsidRDefault="00332171" w:rsidP="00332171">
      <w:pPr>
        <w:spacing w:line="480" w:lineRule="auto"/>
      </w:pPr>
      <w:r>
        <w:t xml:space="preserve">Table 1: The 5 largest CAFO’s of the northwest and their associated runoff. </w:t>
      </w:r>
    </w:p>
    <w:p w14:paraId="41273B44" w14:textId="77777777" w:rsidR="00332171" w:rsidRDefault="00332171" w:rsidP="00332171">
      <w:pPr>
        <w:spacing w:line="480" w:lineRule="auto"/>
      </w:pPr>
    </w:p>
    <w:p w14:paraId="7529D86A" w14:textId="6E2B9F63" w:rsidR="007E505D" w:rsidRDefault="000B7D76" w:rsidP="002A4272">
      <w:pPr>
        <w:pStyle w:val="Heading1"/>
        <w:spacing w:line="480" w:lineRule="auto"/>
      </w:pPr>
      <w:r>
        <w:rPr>
          <w:b/>
          <w:u w:val="single"/>
        </w:rPr>
        <w:t>Conclusion</w:t>
      </w:r>
    </w:p>
    <w:p w14:paraId="61604C52" w14:textId="15851830" w:rsidR="007E505D" w:rsidRDefault="007E505D" w:rsidP="000F51A9">
      <w:pPr>
        <w:spacing w:line="480" w:lineRule="auto"/>
        <w:rPr>
          <w:rFonts w:ascii="Times New Roman" w:hAnsi="Times New Roman" w:cs="Times New Roman"/>
          <w:sz w:val="24"/>
          <w:szCs w:val="24"/>
        </w:rPr>
      </w:pPr>
      <w:r w:rsidRPr="00204F70">
        <w:rPr>
          <w:rFonts w:ascii="Times New Roman" w:hAnsi="Times New Roman" w:cs="Times New Roman"/>
          <w:sz w:val="24"/>
          <w:szCs w:val="24"/>
        </w:rPr>
        <w:t>Analysis shows that the there is a large number of CAFOS located within the pacific northwest of the United States all of which are located close to major water ways of the region. The largest CAFO’s, operations over 15,000 are located within Washington and Idaho with the largest operation (150,000 heads) bordering the Snake River in Idaho. The positon of the large CAFO</w:t>
      </w:r>
      <w:r w:rsidR="00204F70">
        <w:rPr>
          <w:rFonts w:ascii="Times New Roman" w:hAnsi="Times New Roman" w:cs="Times New Roman"/>
          <w:sz w:val="24"/>
          <w:szCs w:val="24"/>
        </w:rPr>
        <w:t xml:space="preserve">’s </w:t>
      </w:r>
      <w:r w:rsidRPr="00204F70">
        <w:rPr>
          <w:rFonts w:ascii="Times New Roman" w:hAnsi="Times New Roman" w:cs="Times New Roman"/>
          <w:sz w:val="24"/>
          <w:szCs w:val="24"/>
        </w:rPr>
        <w:t xml:space="preserve"> along the </w:t>
      </w:r>
      <w:r w:rsidR="00204F70">
        <w:rPr>
          <w:rFonts w:ascii="Times New Roman" w:hAnsi="Times New Roman" w:cs="Times New Roman"/>
          <w:sz w:val="24"/>
          <w:szCs w:val="24"/>
        </w:rPr>
        <w:t>Columbian</w:t>
      </w:r>
      <w:r w:rsidRPr="00204F70">
        <w:rPr>
          <w:rFonts w:ascii="Times New Roman" w:hAnsi="Times New Roman" w:cs="Times New Roman"/>
          <w:sz w:val="24"/>
          <w:szCs w:val="24"/>
        </w:rPr>
        <w:t xml:space="preserve"> river suggests that they contribute to the eutrophication which is occurring just off the coast of </w:t>
      </w:r>
      <w:r w:rsidR="00DB6BFA" w:rsidRPr="00204F70">
        <w:rPr>
          <w:rFonts w:ascii="Times New Roman" w:hAnsi="Times New Roman" w:cs="Times New Roman"/>
          <w:sz w:val="24"/>
          <w:szCs w:val="24"/>
        </w:rPr>
        <w:t>Washington, however there are more factors that can contribute to this phenomenon and a more in dep</w:t>
      </w:r>
      <w:r w:rsidR="00C80549">
        <w:rPr>
          <w:rFonts w:ascii="Times New Roman" w:hAnsi="Times New Roman" w:cs="Times New Roman"/>
          <w:sz w:val="24"/>
          <w:szCs w:val="24"/>
        </w:rPr>
        <w:t xml:space="preserve">th study would be required to analyze </w:t>
      </w:r>
      <w:r w:rsidR="00DB6BFA" w:rsidRPr="00204F70">
        <w:rPr>
          <w:rFonts w:ascii="Times New Roman" w:hAnsi="Times New Roman" w:cs="Times New Roman"/>
          <w:sz w:val="24"/>
          <w:szCs w:val="24"/>
        </w:rPr>
        <w:t xml:space="preserve">these factors in relation to fertilizer runoff from CAFO’s </w:t>
      </w:r>
    </w:p>
    <w:p w14:paraId="2CD0ABBB" w14:textId="29814591" w:rsidR="00056CA8" w:rsidRDefault="00056CA8" w:rsidP="000F51A9">
      <w:pPr>
        <w:pStyle w:val="Heading1"/>
        <w:spacing w:line="480" w:lineRule="auto"/>
        <w:rPr>
          <w:b/>
          <w:u w:val="single"/>
        </w:rPr>
      </w:pPr>
      <w:r>
        <w:rPr>
          <w:b/>
          <w:u w:val="single"/>
        </w:rPr>
        <w:t>Acknowledgments:</w:t>
      </w:r>
    </w:p>
    <w:p w14:paraId="22FB9B4B" w14:textId="77777777" w:rsidR="00056CA8" w:rsidRDefault="00056CA8" w:rsidP="000F51A9">
      <w:pPr>
        <w:spacing w:line="480" w:lineRule="auto"/>
        <w:rPr>
          <w:rFonts w:ascii="Times New Roman" w:hAnsi="Times New Roman" w:cs="Times New Roman"/>
          <w:sz w:val="24"/>
          <w:szCs w:val="24"/>
        </w:rPr>
      </w:pPr>
    </w:p>
    <w:p w14:paraId="5F56A3CA" w14:textId="0AECDFF7" w:rsidR="00056CA8" w:rsidRPr="00056CA8" w:rsidRDefault="00056CA8" w:rsidP="000F51A9">
      <w:pPr>
        <w:spacing w:line="480" w:lineRule="auto"/>
        <w:rPr>
          <w:rFonts w:ascii="Times New Roman" w:eastAsia="Times New Roman" w:hAnsi="Times New Roman" w:cs="Times New Roman"/>
          <w:i/>
          <w:color w:val="000000"/>
          <w:sz w:val="24"/>
          <w:szCs w:val="24"/>
        </w:rPr>
      </w:pPr>
      <w:proofErr w:type="spellStart"/>
      <w:r w:rsidRPr="00056CA8">
        <w:rPr>
          <w:rFonts w:ascii="Times New Roman" w:hAnsi="Times New Roman" w:cs="Times New Roman"/>
          <w:i/>
          <w:sz w:val="24"/>
          <w:szCs w:val="24"/>
        </w:rPr>
        <w:t>Basemap</w:t>
      </w:r>
      <w:proofErr w:type="spellEnd"/>
      <w:r w:rsidRPr="00056CA8">
        <w:rPr>
          <w:rFonts w:ascii="Times New Roman" w:hAnsi="Times New Roman" w:cs="Times New Roman"/>
          <w:i/>
          <w:sz w:val="24"/>
          <w:szCs w:val="24"/>
        </w:rPr>
        <w:t xml:space="preserve">: </w:t>
      </w:r>
      <w:r w:rsidRPr="00056CA8">
        <w:rPr>
          <w:rFonts w:ascii="Times New Roman" w:eastAsia="Times New Roman" w:hAnsi="Times New Roman" w:cs="Times New Roman"/>
          <w:i/>
          <w:iCs/>
          <w:color w:val="000000"/>
          <w:sz w:val="24"/>
          <w:szCs w:val="24"/>
        </w:rPr>
        <w:t xml:space="preserve">Originator: </w:t>
      </w:r>
      <w:r w:rsidRPr="00056CA8">
        <w:rPr>
          <w:rFonts w:ascii="Times New Roman" w:eastAsia="Times New Roman" w:hAnsi="Times New Roman" w:cs="Times New Roman"/>
          <w:i/>
          <w:color w:val="000000"/>
          <w:sz w:val="24"/>
          <w:szCs w:val="24"/>
        </w:rPr>
        <w:t xml:space="preserve">U.S. Department of Commerce, U.S. Census Bureau, Geography Division/Cartographic Products Branch </w:t>
      </w:r>
      <w:r w:rsidRPr="00056CA8">
        <w:rPr>
          <w:rFonts w:ascii="Times New Roman" w:eastAsia="Times New Roman" w:hAnsi="Times New Roman" w:cs="Times New Roman"/>
          <w:i/>
          <w:iCs/>
          <w:color w:val="000000"/>
          <w:sz w:val="24"/>
          <w:szCs w:val="24"/>
        </w:rPr>
        <w:t xml:space="preserve">Publication Date: </w:t>
      </w:r>
      <w:r w:rsidRPr="00056CA8">
        <w:rPr>
          <w:rFonts w:ascii="Times New Roman" w:eastAsia="Times New Roman" w:hAnsi="Times New Roman" w:cs="Times New Roman"/>
          <w:i/>
          <w:color w:val="000000"/>
          <w:sz w:val="24"/>
          <w:szCs w:val="24"/>
        </w:rPr>
        <w:t>201505</w:t>
      </w:r>
    </w:p>
    <w:p w14:paraId="0906801F" w14:textId="659C6247" w:rsidR="00056CA8" w:rsidRPr="00056CA8" w:rsidRDefault="00056CA8" w:rsidP="000F51A9">
      <w:pPr>
        <w:spacing w:line="480" w:lineRule="auto"/>
        <w:rPr>
          <w:rFonts w:ascii="Times New Roman" w:eastAsia="Times New Roman" w:hAnsi="Times New Roman" w:cs="Times New Roman"/>
          <w:i/>
          <w:color w:val="000000"/>
          <w:sz w:val="24"/>
          <w:szCs w:val="24"/>
        </w:rPr>
      </w:pPr>
      <w:r w:rsidRPr="00056CA8">
        <w:rPr>
          <w:rFonts w:ascii="Times New Roman" w:eastAsia="Times New Roman" w:hAnsi="Times New Roman" w:cs="Times New Roman"/>
          <w:i/>
          <w:color w:val="000000"/>
          <w:sz w:val="24"/>
          <w:szCs w:val="24"/>
        </w:rPr>
        <w:t>Land Cover: Earth Explorer</w:t>
      </w:r>
    </w:p>
    <w:p w14:paraId="596DD54A" w14:textId="37034097" w:rsidR="00056CA8" w:rsidRPr="00056CA8" w:rsidRDefault="00056CA8" w:rsidP="000F51A9">
      <w:pPr>
        <w:spacing w:line="480" w:lineRule="auto"/>
        <w:rPr>
          <w:rFonts w:ascii="Times New Roman" w:eastAsia="Times New Roman" w:hAnsi="Times New Roman" w:cs="Times New Roman"/>
          <w:i/>
          <w:color w:val="000000"/>
          <w:sz w:val="24"/>
          <w:szCs w:val="24"/>
        </w:rPr>
      </w:pPr>
      <w:r w:rsidRPr="00056CA8">
        <w:rPr>
          <w:rFonts w:ascii="Times New Roman" w:eastAsia="Times New Roman" w:hAnsi="Times New Roman" w:cs="Times New Roman"/>
          <w:i/>
          <w:color w:val="000000"/>
          <w:sz w:val="24"/>
          <w:szCs w:val="24"/>
        </w:rPr>
        <w:t>CAFO’s and Waterways: United States Geologic Survey</w:t>
      </w:r>
    </w:p>
    <w:p w14:paraId="12D1A318" w14:textId="0F6A9914" w:rsidR="00056CA8" w:rsidRDefault="00056CA8" w:rsidP="000F51A9">
      <w:pPr>
        <w:spacing w:line="480" w:lineRule="auto"/>
        <w:rPr>
          <w:rFonts w:ascii="Times New Roman" w:eastAsia="Times New Roman" w:hAnsi="Times New Roman" w:cs="Times New Roman"/>
          <w:i/>
          <w:color w:val="000000"/>
          <w:sz w:val="24"/>
          <w:szCs w:val="24"/>
        </w:rPr>
      </w:pPr>
      <w:r w:rsidRPr="00056CA8">
        <w:rPr>
          <w:rFonts w:ascii="Times New Roman" w:eastAsia="Times New Roman" w:hAnsi="Times New Roman" w:cs="Times New Roman"/>
          <w:i/>
          <w:color w:val="000000"/>
          <w:sz w:val="24"/>
          <w:szCs w:val="24"/>
        </w:rPr>
        <w:t xml:space="preserve">Orthographic Imagery: university of Idaho </w:t>
      </w:r>
    </w:p>
    <w:p w14:paraId="70EB6834" w14:textId="77777777" w:rsidR="007C5963" w:rsidRPr="007C5963" w:rsidRDefault="007C5963" w:rsidP="007C5963">
      <w:pPr>
        <w:spacing w:after="0" w:line="240" w:lineRule="auto"/>
        <w:rPr>
          <w:rFonts w:ascii="Times New Roman" w:eastAsia="Times New Roman" w:hAnsi="Times New Roman" w:cs="Times New Roman"/>
          <w:sz w:val="24"/>
          <w:szCs w:val="24"/>
        </w:rPr>
      </w:pPr>
      <w:r w:rsidRPr="007C5963">
        <w:rPr>
          <w:rFonts w:ascii="Times New Roman" w:eastAsia="Times New Roman" w:hAnsi="Times New Roman" w:cs="Times New Roman"/>
          <w:sz w:val="24"/>
          <w:szCs w:val="24"/>
        </w:rPr>
        <w:t>Avery, A., &amp; Avery, D. (</w:t>
      </w:r>
      <w:proofErr w:type="spellStart"/>
      <w:r w:rsidRPr="007C5963">
        <w:rPr>
          <w:rFonts w:ascii="Times New Roman" w:eastAsia="Times New Roman" w:hAnsi="Times New Roman" w:cs="Times New Roman"/>
          <w:sz w:val="24"/>
          <w:szCs w:val="24"/>
        </w:rPr>
        <w:t>n.d.</w:t>
      </w:r>
      <w:proofErr w:type="spellEnd"/>
      <w:r w:rsidRPr="007C5963">
        <w:rPr>
          <w:rFonts w:ascii="Times New Roman" w:eastAsia="Times New Roman" w:hAnsi="Times New Roman" w:cs="Times New Roman"/>
          <w:sz w:val="24"/>
          <w:szCs w:val="24"/>
        </w:rPr>
        <w:t xml:space="preserve">). Beef Production and Greenhouse Gas Emissions. Retrieved May 06, 2016, from http://www.ncbi.nlm.nih.gov/pmc/articles/PMC2535638/ </w:t>
      </w:r>
    </w:p>
    <w:p w14:paraId="1FA98969" w14:textId="77777777" w:rsidR="009F13AA" w:rsidRDefault="009F13AA" w:rsidP="000F51A9">
      <w:pPr>
        <w:spacing w:line="480" w:lineRule="auto"/>
        <w:rPr>
          <w:rFonts w:ascii="Times New Roman" w:hAnsi="Times New Roman" w:cs="Times New Roman"/>
          <w:i/>
          <w:sz w:val="24"/>
          <w:szCs w:val="24"/>
        </w:rPr>
      </w:pPr>
    </w:p>
    <w:p w14:paraId="46094ACD" w14:textId="77777777" w:rsidR="009F13AA" w:rsidRPr="00056CA8" w:rsidRDefault="009F13AA" w:rsidP="000F51A9">
      <w:pPr>
        <w:spacing w:line="480" w:lineRule="auto"/>
        <w:rPr>
          <w:rFonts w:ascii="Times New Roman" w:hAnsi="Times New Roman" w:cs="Times New Roman"/>
          <w:i/>
          <w:sz w:val="24"/>
          <w:szCs w:val="24"/>
        </w:rPr>
      </w:pPr>
    </w:p>
    <w:p w14:paraId="077F4114" w14:textId="77777777" w:rsidR="00056CA8" w:rsidRPr="00056CA8" w:rsidRDefault="00056CA8" w:rsidP="000F51A9">
      <w:pPr>
        <w:spacing w:line="480" w:lineRule="auto"/>
        <w:rPr>
          <w:rFonts w:ascii="Times New Roman" w:hAnsi="Times New Roman" w:cs="Times New Roman"/>
          <w:i/>
          <w:sz w:val="24"/>
          <w:szCs w:val="24"/>
        </w:rPr>
      </w:pPr>
    </w:p>
    <w:sectPr w:rsidR="00056CA8" w:rsidRPr="00056CA8">
      <w:footerReference w:type="default" r:id="rId12"/>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04F0EBC" w15:done="0"/>
  <w15:commentEx w15:paraId="59A0DDA3" w15:done="0"/>
  <w15:commentEx w15:paraId="126C63E8" w15:done="0"/>
  <w15:commentEx w15:paraId="1B4E1100" w15:done="0"/>
  <w15:commentEx w15:paraId="0CA465EC" w15:done="0"/>
  <w15:commentEx w15:paraId="7815C8A7" w15:done="0"/>
  <w15:commentEx w15:paraId="3D02801E" w15:done="0"/>
  <w15:commentEx w15:paraId="12E2CAF5" w15:done="0"/>
  <w15:commentEx w15:paraId="071F7D81" w15:done="0"/>
  <w15:commentEx w15:paraId="2350A8F6" w15:done="0"/>
  <w15:commentEx w15:paraId="2CCC897F" w15:done="0"/>
  <w15:commentEx w15:paraId="6FF43049" w15:done="0"/>
  <w15:commentEx w15:paraId="191974D3" w15:done="0"/>
  <w15:commentEx w15:paraId="112B2E3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0478D1" w14:textId="77777777" w:rsidR="009A240B" w:rsidRDefault="009A240B" w:rsidP="00071706">
      <w:pPr>
        <w:spacing w:after="0" w:line="240" w:lineRule="auto"/>
      </w:pPr>
      <w:r>
        <w:separator/>
      </w:r>
    </w:p>
  </w:endnote>
  <w:endnote w:type="continuationSeparator" w:id="0">
    <w:p w14:paraId="0C8692CC" w14:textId="77777777" w:rsidR="009A240B" w:rsidRDefault="009A240B" w:rsidP="00071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612405"/>
      <w:docPartObj>
        <w:docPartGallery w:val="Page Numbers (Bottom of Page)"/>
        <w:docPartUnique/>
      </w:docPartObj>
    </w:sdtPr>
    <w:sdtEndPr>
      <w:rPr>
        <w:noProof/>
      </w:rPr>
    </w:sdtEndPr>
    <w:sdtContent>
      <w:p w14:paraId="4C8638BD" w14:textId="6FEF8570" w:rsidR="00071706" w:rsidRDefault="00071706">
        <w:pPr>
          <w:pStyle w:val="Footer"/>
        </w:pPr>
        <w:r>
          <w:fldChar w:fldCharType="begin"/>
        </w:r>
        <w:r>
          <w:instrText xml:space="preserve"> PAGE   \* MERGEFORMAT </w:instrText>
        </w:r>
        <w:r>
          <w:fldChar w:fldCharType="separate"/>
        </w:r>
        <w:r w:rsidR="002A4272">
          <w:rPr>
            <w:noProof/>
          </w:rPr>
          <w:t>1</w:t>
        </w:r>
        <w:r>
          <w:rPr>
            <w:noProof/>
          </w:rPr>
          <w:fldChar w:fldCharType="end"/>
        </w:r>
      </w:p>
    </w:sdtContent>
  </w:sdt>
  <w:p w14:paraId="3DDF9148" w14:textId="77777777" w:rsidR="00071706" w:rsidRDefault="000717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15CEED" w14:textId="77777777" w:rsidR="009A240B" w:rsidRDefault="009A240B" w:rsidP="00071706">
      <w:pPr>
        <w:spacing w:after="0" w:line="240" w:lineRule="auto"/>
      </w:pPr>
      <w:r>
        <w:separator/>
      </w:r>
    </w:p>
  </w:footnote>
  <w:footnote w:type="continuationSeparator" w:id="0">
    <w:p w14:paraId="414C69C8" w14:textId="77777777" w:rsidR="009A240B" w:rsidRDefault="009A240B" w:rsidP="00071706">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van A. Barbarick">
    <w15:presenceInfo w15:providerId="AD" w15:userId="S-1-5-21-260833035-2697287537-3800804111-1905141"/>
  </w15:person>
  <w15:person w15:author="James Graham">
    <w15:presenceInfo w15:providerId="Windows Live" w15:userId="94aac14f7ec478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EF8"/>
    <w:rsid w:val="000402DF"/>
    <w:rsid w:val="00056CA8"/>
    <w:rsid w:val="00071706"/>
    <w:rsid w:val="000B7D76"/>
    <w:rsid w:val="000D4078"/>
    <w:rsid w:val="000F51A9"/>
    <w:rsid w:val="00204F70"/>
    <w:rsid w:val="00224A68"/>
    <w:rsid w:val="00266A84"/>
    <w:rsid w:val="002A4272"/>
    <w:rsid w:val="00332171"/>
    <w:rsid w:val="003C038E"/>
    <w:rsid w:val="005362CC"/>
    <w:rsid w:val="005F3E21"/>
    <w:rsid w:val="0062290E"/>
    <w:rsid w:val="007C5963"/>
    <w:rsid w:val="007E505D"/>
    <w:rsid w:val="007F013F"/>
    <w:rsid w:val="008960CF"/>
    <w:rsid w:val="00997EF8"/>
    <w:rsid w:val="009A240B"/>
    <w:rsid w:val="009F13AA"/>
    <w:rsid w:val="00A27B10"/>
    <w:rsid w:val="00AB0A62"/>
    <w:rsid w:val="00B13D02"/>
    <w:rsid w:val="00B22168"/>
    <w:rsid w:val="00B97AB2"/>
    <w:rsid w:val="00C80549"/>
    <w:rsid w:val="00CA5002"/>
    <w:rsid w:val="00CC21C0"/>
    <w:rsid w:val="00D04AC3"/>
    <w:rsid w:val="00DB6BFA"/>
    <w:rsid w:val="00E05158"/>
    <w:rsid w:val="00F55B5E"/>
    <w:rsid w:val="00F66F4A"/>
    <w:rsid w:val="00F6727F"/>
    <w:rsid w:val="00F814CF"/>
    <w:rsid w:val="00FC3C25"/>
    <w:rsid w:val="00FF0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9D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7E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51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EF8"/>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62290E"/>
    <w:rPr>
      <w:color w:val="0563C1" w:themeColor="hyperlink"/>
      <w:u w:val="single"/>
    </w:rPr>
  </w:style>
  <w:style w:type="character" w:styleId="CommentReference">
    <w:name w:val="annotation reference"/>
    <w:basedOn w:val="DefaultParagraphFont"/>
    <w:uiPriority w:val="99"/>
    <w:semiHidden/>
    <w:unhideWhenUsed/>
    <w:rsid w:val="000B7D76"/>
    <w:rPr>
      <w:sz w:val="16"/>
      <w:szCs w:val="16"/>
    </w:rPr>
  </w:style>
  <w:style w:type="paragraph" w:styleId="CommentText">
    <w:name w:val="annotation text"/>
    <w:basedOn w:val="Normal"/>
    <w:link w:val="CommentTextChar"/>
    <w:uiPriority w:val="99"/>
    <w:semiHidden/>
    <w:unhideWhenUsed/>
    <w:rsid w:val="000B7D76"/>
    <w:pPr>
      <w:spacing w:line="240" w:lineRule="auto"/>
    </w:pPr>
    <w:rPr>
      <w:sz w:val="20"/>
      <w:szCs w:val="20"/>
    </w:rPr>
  </w:style>
  <w:style w:type="character" w:customStyle="1" w:styleId="CommentTextChar">
    <w:name w:val="Comment Text Char"/>
    <w:basedOn w:val="DefaultParagraphFont"/>
    <w:link w:val="CommentText"/>
    <w:uiPriority w:val="99"/>
    <w:semiHidden/>
    <w:rsid w:val="000B7D76"/>
    <w:rPr>
      <w:sz w:val="20"/>
      <w:szCs w:val="20"/>
    </w:rPr>
  </w:style>
  <w:style w:type="paragraph" w:styleId="CommentSubject">
    <w:name w:val="annotation subject"/>
    <w:basedOn w:val="CommentText"/>
    <w:next w:val="CommentText"/>
    <w:link w:val="CommentSubjectChar"/>
    <w:uiPriority w:val="99"/>
    <w:semiHidden/>
    <w:unhideWhenUsed/>
    <w:rsid w:val="000B7D76"/>
    <w:rPr>
      <w:b/>
      <w:bCs/>
    </w:rPr>
  </w:style>
  <w:style w:type="character" w:customStyle="1" w:styleId="CommentSubjectChar">
    <w:name w:val="Comment Subject Char"/>
    <w:basedOn w:val="CommentTextChar"/>
    <w:link w:val="CommentSubject"/>
    <w:uiPriority w:val="99"/>
    <w:semiHidden/>
    <w:rsid w:val="000B7D76"/>
    <w:rPr>
      <w:b/>
      <w:bCs/>
      <w:sz w:val="20"/>
      <w:szCs w:val="20"/>
    </w:rPr>
  </w:style>
  <w:style w:type="paragraph" w:styleId="BalloonText">
    <w:name w:val="Balloon Text"/>
    <w:basedOn w:val="Normal"/>
    <w:link w:val="BalloonTextChar"/>
    <w:uiPriority w:val="99"/>
    <w:semiHidden/>
    <w:unhideWhenUsed/>
    <w:rsid w:val="000B7D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D76"/>
    <w:rPr>
      <w:rFonts w:ascii="Segoe UI" w:hAnsi="Segoe UI" w:cs="Segoe UI"/>
      <w:sz w:val="18"/>
      <w:szCs w:val="18"/>
    </w:rPr>
  </w:style>
  <w:style w:type="table" w:styleId="TableGrid">
    <w:name w:val="Table Grid"/>
    <w:basedOn w:val="TableNormal"/>
    <w:uiPriority w:val="39"/>
    <w:rsid w:val="00204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04F70"/>
    <w:rPr>
      <w:b/>
      <w:bCs/>
    </w:rPr>
  </w:style>
  <w:style w:type="paragraph" w:styleId="Title">
    <w:name w:val="Title"/>
    <w:basedOn w:val="Normal"/>
    <w:next w:val="Normal"/>
    <w:link w:val="TitleChar"/>
    <w:uiPriority w:val="10"/>
    <w:qFormat/>
    <w:rsid w:val="003C03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038E"/>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3C038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C038E"/>
    <w:rPr>
      <w:i/>
      <w:iCs/>
      <w:color w:val="5B9BD5" w:themeColor="accent1"/>
    </w:rPr>
  </w:style>
  <w:style w:type="paragraph" w:styleId="Header">
    <w:name w:val="header"/>
    <w:basedOn w:val="Normal"/>
    <w:link w:val="HeaderChar"/>
    <w:uiPriority w:val="99"/>
    <w:unhideWhenUsed/>
    <w:rsid w:val="000717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706"/>
  </w:style>
  <w:style w:type="paragraph" w:styleId="Footer">
    <w:name w:val="footer"/>
    <w:basedOn w:val="Normal"/>
    <w:link w:val="FooterChar"/>
    <w:uiPriority w:val="99"/>
    <w:unhideWhenUsed/>
    <w:rsid w:val="000717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706"/>
  </w:style>
  <w:style w:type="character" w:customStyle="1" w:styleId="Heading2Char">
    <w:name w:val="Heading 2 Char"/>
    <w:basedOn w:val="DefaultParagraphFont"/>
    <w:link w:val="Heading2"/>
    <w:uiPriority w:val="9"/>
    <w:rsid w:val="000F51A9"/>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7E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51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EF8"/>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62290E"/>
    <w:rPr>
      <w:color w:val="0563C1" w:themeColor="hyperlink"/>
      <w:u w:val="single"/>
    </w:rPr>
  </w:style>
  <w:style w:type="character" w:styleId="CommentReference">
    <w:name w:val="annotation reference"/>
    <w:basedOn w:val="DefaultParagraphFont"/>
    <w:uiPriority w:val="99"/>
    <w:semiHidden/>
    <w:unhideWhenUsed/>
    <w:rsid w:val="000B7D76"/>
    <w:rPr>
      <w:sz w:val="16"/>
      <w:szCs w:val="16"/>
    </w:rPr>
  </w:style>
  <w:style w:type="paragraph" w:styleId="CommentText">
    <w:name w:val="annotation text"/>
    <w:basedOn w:val="Normal"/>
    <w:link w:val="CommentTextChar"/>
    <w:uiPriority w:val="99"/>
    <w:semiHidden/>
    <w:unhideWhenUsed/>
    <w:rsid w:val="000B7D76"/>
    <w:pPr>
      <w:spacing w:line="240" w:lineRule="auto"/>
    </w:pPr>
    <w:rPr>
      <w:sz w:val="20"/>
      <w:szCs w:val="20"/>
    </w:rPr>
  </w:style>
  <w:style w:type="character" w:customStyle="1" w:styleId="CommentTextChar">
    <w:name w:val="Comment Text Char"/>
    <w:basedOn w:val="DefaultParagraphFont"/>
    <w:link w:val="CommentText"/>
    <w:uiPriority w:val="99"/>
    <w:semiHidden/>
    <w:rsid w:val="000B7D76"/>
    <w:rPr>
      <w:sz w:val="20"/>
      <w:szCs w:val="20"/>
    </w:rPr>
  </w:style>
  <w:style w:type="paragraph" w:styleId="CommentSubject">
    <w:name w:val="annotation subject"/>
    <w:basedOn w:val="CommentText"/>
    <w:next w:val="CommentText"/>
    <w:link w:val="CommentSubjectChar"/>
    <w:uiPriority w:val="99"/>
    <w:semiHidden/>
    <w:unhideWhenUsed/>
    <w:rsid w:val="000B7D76"/>
    <w:rPr>
      <w:b/>
      <w:bCs/>
    </w:rPr>
  </w:style>
  <w:style w:type="character" w:customStyle="1" w:styleId="CommentSubjectChar">
    <w:name w:val="Comment Subject Char"/>
    <w:basedOn w:val="CommentTextChar"/>
    <w:link w:val="CommentSubject"/>
    <w:uiPriority w:val="99"/>
    <w:semiHidden/>
    <w:rsid w:val="000B7D76"/>
    <w:rPr>
      <w:b/>
      <w:bCs/>
      <w:sz w:val="20"/>
      <w:szCs w:val="20"/>
    </w:rPr>
  </w:style>
  <w:style w:type="paragraph" w:styleId="BalloonText">
    <w:name w:val="Balloon Text"/>
    <w:basedOn w:val="Normal"/>
    <w:link w:val="BalloonTextChar"/>
    <w:uiPriority w:val="99"/>
    <w:semiHidden/>
    <w:unhideWhenUsed/>
    <w:rsid w:val="000B7D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D76"/>
    <w:rPr>
      <w:rFonts w:ascii="Segoe UI" w:hAnsi="Segoe UI" w:cs="Segoe UI"/>
      <w:sz w:val="18"/>
      <w:szCs w:val="18"/>
    </w:rPr>
  </w:style>
  <w:style w:type="table" w:styleId="TableGrid">
    <w:name w:val="Table Grid"/>
    <w:basedOn w:val="TableNormal"/>
    <w:uiPriority w:val="39"/>
    <w:rsid w:val="00204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04F70"/>
    <w:rPr>
      <w:b/>
      <w:bCs/>
    </w:rPr>
  </w:style>
  <w:style w:type="paragraph" w:styleId="Title">
    <w:name w:val="Title"/>
    <w:basedOn w:val="Normal"/>
    <w:next w:val="Normal"/>
    <w:link w:val="TitleChar"/>
    <w:uiPriority w:val="10"/>
    <w:qFormat/>
    <w:rsid w:val="003C03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038E"/>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3C038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C038E"/>
    <w:rPr>
      <w:i/>
      <w:iCs/>
      <w:color w:val="5B9BD5" w:themeColor="accent1"/>
    </w:rPr>
  </w:style>
  <w:style w:type="paragraph" w:styleId="Header">
    <w:name w:val="header"/>
    <w:basedOn w:val="Normal"/>
    <w:link w:val="HeaderChar"/>
    <w:uiPriority w:val="99"/>
    <w:unhideWhenUsed/>
    <w:rsid w:val="000717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706"/>
  </w:style>
  <w:style w:type="paragraph" w:styleId="Footer">
    <w:name w:val="footer"/>
    <w:basedOn w:val="Normal"/>
    <w:link w:val="FooterChar"/>
    <w:uiPriority w:val="99"/>
    <w:unhideWhenUsed/>
    <w:rsid w:val="000717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706"/>
  </w:style>
  <w:style w:type="character" w:customStyle="1" w:styleId="Heading2Char">
    <w:name w:val="Heading 2 Char"/>
    <w:basedOn w:val="DefaultParagraphFont"/>
    <w:link w:val="Heading2"/>
    <w:uiPriority w:val="9"/>
    <w:rsid w:val="000F51A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007295">
      <w:bodyDiv w:val="1"/>
      <w:marLeft w:val="0"/>
      <w:marRight w:val="0"/>
      <w:marTop w:val="0"/>
      <w:marBottom w:val="0"/>
      <w:divBdr>
        <w:top w:val="none" w:sz="0" w:space="0" w:color="auto"/>
        <w:left w:val="none" w:sz="0" w:space="0" w:color="auto"/>
        <w:bottom w:val="none" w:sz="0" w:space="0" w:color="auto"/>
        <w:right w:val="none" w:sz="0" w:space="0" w:color="auto"/>
      </w:divBdr>
      <w:divsChild>
        <w:div w:id="8161870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D8158-34EB-44D3-B0F7-65C081124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937</Words>
  <Characters>5342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Humboldt State University</Company>
  <LinksUpToDate>false</LinksUpToDate>
  <CharactersWithSpaces>6267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eab799</dc:creator>
  <cp:keywords/>
  <dc:description/>
  <cp:lastModifiedBy>jg2345</cp:lastModifiedBy>
  <cp:revision>5</cp:revision>
  <dcterms:created xsi:type="dcterms:W3CDTF">2016-05-10T17:58:00Z</dcterms:created>
  <dcterms:modified xsi:type="dcterms:W3CDTF">2016-05-27T22:18:00Z</dcterms:modified>
</cp:coreProperties>
</file>